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0" distT="0" distL="0" distR="0">
            <wp:extent cx="2945423" cy="957263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45423" cy="9572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tblW w:w="1026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555"/>
        <w:gridCol w:w="3705"/>
        <w:tblGridChange w:id="0">
          <w:tblGrid>
            <w:gridCol w:w="6555"/>
            <w:gridCol w:w="3705"/>
          </w:tblGrid>
        </w:tblGridChange>
      </w:tblGrid>
      <w:tr>
        <w:trPr>
          <w:cantSplit w:val="0"/>
          <w:trHeight w:val="557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Extracurricular Activities</w:t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Athletics</w:t>
            </w:r>
          </w:p>
        </w:tc>
      </w:tr>
      <w:tr>
        <w:trPr>
          <w:cantSplit w:val="0"/>
          <w:trHeight w:val="4680" w:hRule="atLeast"/>
          <w:tblHeader w:val="0"/>
        </w:trPr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Anime Club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Art Club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C.T.A.G.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(Closing the Achievement Gap Young Men’s Group)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Drama Club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Green Corps </w:t>
            </w: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Environmental Club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Girl Power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International Foods Club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LGBTQ Alliance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N.O.W.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(Anti-bullying Group)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Photography Club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ROTC Drill Team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Speech and Debate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Student Advisory Council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Student Council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W.A.V.E. 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(Peer Mediation Group)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Baseball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Basketball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Bowling</w:t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Cheerleading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Cross Country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Football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Golf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Indoor Track and Field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Outdoor Track and Field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Softball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Soccer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Tennis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Volleyball 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Wrestling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22">
            <w:pPr>
              <w:ind w:left="427" w:hanging="360"/>
              <w:jc w:val="center"/>
              <w:rPr>
                <w:rFonts w:ascii="Century Gothic" w:cs="Century Gothic" w:eastAsia="Century Gothic" w:hAnsi="Century Gothic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32"/>
                <w:szCs w:val="32"/>
                <w:rtl w:val="0"/>
              </w:rPr>
              <w:t xml:space="preserve">Partnership with the Cleveland Metroparks Zoo</w:t>
            </w:r>
          </w:p>
        </w:tc>
      </w:tr>
      <w:tr>
        <w:trPr>
          <w:cantSplit w:val="0"/>
          <w:trHeight w:val="4065" w:hRule="atLeast"/>
          <w:tblHeader w:val="0"/>
        </w:trPr>
        <w:tc>
          <w:tcPr>
            <w:gridSpan w:val="2"/>
            <w:tcBorders>
              <w:top w:color="000000" w:space="0" w:sz="24" w:val="single"/>
              <w:left w:color="000000" w:space="0" w:sz="24" w:val="single"/>
              <w:bottom w:color="000000" w:space="0" w:sz="24" w:val="single"/>
              <w:right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Conservation Leadership Courses</w:t>
            </w: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Courses taken sophomore, junior and senior year during which 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you conduct research and develop conservation action plans 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and projects with the help of zoo staff members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Keeper for a Day Program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Shadow a zookeeper for a day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8"/>
                <w:szCs w:val="28"/>
                <w:rtl w:val="0"/>
              </w:rPr>
              <w:t xml:space="preserve">Rising Waters and Tiger Tracks Overnight Experience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8"/>
                <w:szCs w:val="28"/>
                <w:rtl w:val="0"/>
              </w:rPr>
              <w:t xml:space="preserve">P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  <w:rtl w:val="0"/>
              </w:rPr>
              <w:t xml:space="preserve">articipate in conservation oriented activities and experience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  <w:rtl w:val="0"/>
              </w:rPr>
              <w:t xml:space="preserve">close up encounters with the Zoo’s small ambassador animals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  <w:rtl w:val="0"/>
              </w:rPr>
              <w:t xml:space="preserve">during an overnight at the zoo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232222"/>
                <w:sz w:val="28"/>
                <w:szCs w:val="28"/>
                <w:highlight w:val="white"/>
                <w:rtl w:val="0"/>
              </w:rPr>
              <w:t xml:space="preserve">Lunch and Learns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  <w:rtl w:val="0"/>
              </w:rPr>
              <w:t xml:space="preserve">Spend your lunch hour at the zoo learning from conservationists doing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232222"/>
                <w:sz w:val="28"/>
                <w:szCs w:val="28"/>
                <w:highlight w:val="white"/>
                <w:rtl w:val="0"/>
              </w:rPr>
              <w:t xml:space="preserve">the work around the world </w:t>
            </w:r>
          </w:p>
        </w:tc>
      </w:tr>
    </w:tbl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</w:rPr>
        <w:drawing>
          <wp:inline distB="114300" distT="114300" distL="114300" distR="114300">
            <wp:extent cx="2362200" cy="83054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31666" l="0" r="0" t="32916"/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8305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450" w:top="5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